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3" w:rsidRDefault="00CF7E41">
      <w:r>
        <w:rPr>
          <w:rStyle w:val="headertext1"/>
        </w:rPr>
        <w:t>24.06.2013 17:13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Раскрытие в сети Интернет годового отчета</w:t>
      </w:r>
      <w:r>
        <w:t xml:space="preserve"> </w:t>
      </w:r>
      <w:r>
        <w:br/>
      </w:r>
      <w:r>
        <w:br/>
      </w:r>
      <w:r>
        <w:br/>
        <w:t xml:space="preserve">Сообщение о раскрытии акционерным обществом на странице в сети Интернет годового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годовой отчет за 2012 г. </w:t>
      </w:r>
      <w:r>
        <w:br/>
        <w:t>2.2. Дата опубликования текста документа на странице в сети Интернет, используемой эмитентом для раскрытия информации: 24.06.2013.</w:t>
      </w:r>
    </w:p>
    <w:sectPr w:rsidR="003909D3" w:rsidSect="0039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41"/>
    <w:rsid w:val="003909D3"/>
    <w:rsid w:val="00C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F7E4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2013-06-24T15:38:00Z</dcterms:created>
  <dcterms:modified xsi:type="dcterms:W3CDTF">2013-06-24T15:38:00Z</dcterms:modified>
</cp:coreProperties>
</file>